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cs="Times New Roman" w:ascii="Times New Roman" w:hAnsi="Times New Roman"/>
          <w:sz w:val="40"/>
          <w:szCs w:val="40"/>
        </w:rPr>
        <w:t xml:space="preserve">НОВОЗЫБКОВСКАЯ </w:t>
      </w:r>
    </w:p>
    <w:p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cs="Times New Roman" w:ascii="Times New Roman" w:hAnsi="Times New Roman"/>
          <w:sz w:val="40"/>
          <w:szCs w:val="40"/>
        </w:rPr>
        <w:t>ГОРОДСКАЯ АДМИНИСТРАЦИЯ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rmal"/>
        <w:ind w:firstLine="54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cs="Times New Roman" w:ascii="Times New Roman" w:hAnsi="Times New Roman"/>
          <w:sz w:val="36"/>
          <w:szCs w:val="36"/>
        </w:rPr>
        <w:t>ПОСТАНОВЛЕНИЕ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</w:r>
    </w:p>
    <w:p>
      <w:pPr>
        <w:pStyle w:val="Normal"/>
        <w:widowControl w:val="false"/>
        <w:rPr>
          <w:rFonts w:ascii="Times New Roman" w:hAnsi="Times New Roman"/>
          <w:sz w:val="40"/>
          <w:szCs w:val="40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 </w:t>
      </w:r>
      <w:r>
        <w:rPr>
          <w:rFonts w:ascii="Times New Roman" w:hAnsi="Times New Roman"/>
          <w:sz w:val="28"/>
          <w:szCs w:val="28"/>
          <w:lang w:val="en-US" w:eastAsia="ru-RU"/>
        </w:rPr>
        <w:t>13.0</w:t>
      </w:r>
      <w:r>
        <w:rPr>
          <w:rFonts w:ascii="Times New Roman" w:hAnsi="Times New Roman"/>
          <w:sz w:val="28"/>
          <w:szCs w:val="28"/>
          <w:lang w:val="en-US" w:eastAsia="ru-RU"/>
        </w:rPr>
        <w:t>2</w:t>
      </w:r>
      <w:r>
        <w:rPr>
          <w:rFonts w:ascii="Times New Roman" w:hAnsi="Times New Roman"/>
          <w:sz w:val="28"/>
          <w:szCs w:val="28"/>
          <w:lang w:val="en-US" w:eastAsia="ru-RU"/>
        </w:rPr>
        <w:t>.2026</w:t>
      </w:r>
      <w:r>
        <w:rPr>
          <w:rFonts w:ascii="Times New Roman" w:hAnsi="Times New Roman"/>
          <w:sz w:val="28"/>
          <w:szCs w:val="28"/>
          <w:lang w:eastAsia="ru-RU"/>
        </w:rPr>
        <w:t xml:space="preserve">    № 131</w:t>
      </w:r>
      <w:r>
        <w:rPr>
          <w:rFonts w:ascii="Times New Roman" w:hAnsi="Times New Roman"/>
          <w:sz w:val="40"/>
          <w:szCs w:val="40"/>
          <w:lang w:eastAsia="ru-RU"/>
        </w:rPr>
        <w:t xml:space="preserve">                                                                           </w:t>
      </w:r>
    </w:p>
    <w:p>
      <w:pPr>
        <w:pStyle w:val="Normal"/>
        <w:widowControl w:val="false"/>
        <w:jc w:val="center"/>
        <w:rPr>
          <w:rFonts w:ascii="Times New Roman" w:hAnsi="Times New Roman"/>
          <w:b/>
          <w:sz w:val="40"/>
          <w:szCs w:val="40"/>
          <w:lang w:eastAsia="ru-RU"/>
        </w:rPr>
      </w:pPr>
      <w:r>
        <w:rPr>
          <w:rFonts w:ascii="Times New Roman" w:hAnsi="Times New Roman"/>
          <w:b/>
          <w:sz w:val="40"/>
          <w:szCs w:val="40"/>
          <w:lang w:eastAsia="ru-RU"/>
        </w:rPr>
      </w:r>
    </w:p>
    <w:p>
      <w:pPr>
        <w:pStyle w:val="Normal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rmal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утверждении Документа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планирования регулярных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перевозок пассажиров и багажа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автомобильным транспортом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муниципальным маршрутам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территории муниципального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образования «Новозыбковский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округ Брянской области»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>
        <w:rPr>
          <w:rFonts w:ascii="Times New Roman" w:hAnsi="Times New Roman"/>
          <w:sz w:val="28"/>
          <w:szCs w:val="28"/>
        </w:rPr>
        <w:t>Федеральными законами от 13.07.2015 г. № 220-ФЗ «Об организации регулярных перевозок пассажиров и багажа автомобильным транспортом и городским наземным электрическим транспортом в Российской Федерации и о внесении изменений в отдельные законодательные акты Российской Федерации», от 06.10.2003 г. № 131-ФЗ «Об общих принципах организации местного самоуправления в Российской Федерации», от 08.11.2007 г. № 259-ФЗ «Устав автомобильного транспорта и городского наземного электрического транспорта», Постановлением Правительства Российской Федерации от 01.10.2020 г. № 1586 «Об утверждении правил перевозок пассажиров и багажа автомобильным транспортом и городским наземным электрическим транспортом», Решением совета народных депутатов от 23.07.2024 г. № 6-656  «Об организации транспортного обслуживания населения на территории муниципального образования Новозыбковский городской округ Брянской области».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Утвердить Документ планирования регулярных перевозок пассажиров и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багажа автомобильным транспортом по муниципальным маршрутам на территории муниципального образования «Новозыбковский городской округ Брянской области» согласно приложению.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опубликовать на сайте Новозыбковской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администрации в информационно-телекоммуникационной сети Интернет.</w:t>
      </w:r>
    </w:p>
    <w:p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Постановление главы Новозыбковской городской администрации от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18.11.2020 г. № 881 «Об утверждении Документа планирования регулярных перевозок по муниципальным маршрутам Новозыбковского городского округа» считать утратившим силу.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     </w:t>
      </w:r>
      <w:r>
        <w:rPr>
          <w:rFonts w:cs="Times New Roman" w:ascii="Times New Roman" w:hAnsi="Times New Roman"/>
          <w:sz w:val="28"/>
          <w:szCs w:val="28"/>
          <w:lang w:eastAsia="ru-RU"/>
        </w:rPr>
        <w:t>4.   Контроль за исполнением настоящего постановления оставляю за собой.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 xml:space="preserve">Врио главы </w:t>
      </w:r>
      <w:r>
        <w:rPr>
          <w:rFonts w:cs="Times New Roman" w:ascii="Times New Roman" w:hAnsi="Times New Roman"/>
          <w:sz w:val="28"/>
          <w:szCs w:val="28"/>
        </w:rPr>
        <w:t>Новозыбковской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городской администрации                                                                     В.Г.Шевелев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Самосват С.В.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4"/>
          <w:szCs w:val="24"/>
        </w:rPr>
        <w:t>5-17-31</w:t>
      </w:r>
      <w:r>
        <w:rPr>
          <w:rFonts w:cs="Times New Roman" w:ascii="Times New Roman" w:hAnsi="Times New Roman"/>
          <w:sz w:val="28"/>
          <w:szCs w:val="28"/>
        </w:rPr>
        <w:t xml:space="preserve">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Приложение</w:t>
      </w:r>
    </w:p>
    <w:p>
      <w:pPr>
        <w:pStyle w:val="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к постановлению Новозыбковской</w:t>
      </w:r>
    </w:p>
    <w:p>
      <w:pPr>
        <w:pStyle w:val="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городской администрации  </w:t>
      </w:r>
    </w:p>
    <w:p>
      <w:pPr>
        <w:pStyle w:val="Normal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 планирования регулярных перевозок пассажиров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 багажа автомобильным транспортом по муниципальным маршрутам 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территории муниципального образования «Новозыбковский городской округ Брянской области».</w:t>
      </w:r>
    </w:p>
    <w:p>
      <w:pPr>
        <w:pStyle w:val="Normal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1.Общие положения </w:t>
      </w:r>
    </w:p>
    <w:p>
      <w:pPr>
        <w:pStyle w:val="ListParagrap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1.1. Документ планирования регулярных перевозок пассажиров и багажа автомобильным транспортом по муниципальным маршрутам на территории муниципального образования «Новозыбковский городской округ Брянской области» (далее – Документ планирования) устанавливает цели и задачи планирования регулярных перевозок пассажиров и багажа автомобильным транспортом (далее – регулярные перевозки) по муниципальным маршрутам в границах Новозыбковского городского округа ( далее- муниципальные маршруты), а также перечень мероприятий по развитию регулярных перевозок по муниципальным маршрутам, направленных на обеспечение доступности услуг общественного пассажирского транспорта, повышения качества, эффективности и безопасности транспортного обслуживания населения на   муниципальных маршрутах, оптимизации существующей маршрутной сети Новозыбковского городского округа.</w:t>
      </w:r>
    </w:p>
    <w:p>
      <w:pPr>
        <w:pStyle w:val="Normal"/>
        <w:ind w:left="36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 В Документе планирования используются понятия, определенные Феде-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ральными законами от 13.07.2015 г. № 220-ФЗ «Об организации регулярных перевозок пассажиров и багажа автомобильным транспортом и городским наземным электрическим транспортом в Российской Федерации и о внесении изменений в отдельные законодательные акты Российской Федерации», от 06.10.2003 г. № 131-ФЗ «Об общих принципах организации местного самоуправления в Российской Федерации», от 08.11.2007 г. № 259-ФЗ «Устав автомобильного транспорта и городского наземного электрического транспорта», Постановлением Правительства Российской Федерации от 01.10.2020 г. № 1586 «Об утверждении правил перевозок пассажиров и багажа автомобильным транспортом и городским наземным электрическим транспортом», Решением совета народных депутатов от 23.07.2024 г. № 6-656  «Об организации транспортного обслуживания населения на территории муниципального образования Новозыбковский городской округ Брянской области».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2.Текущее состояние транспортной системы</w:t>
      </w:r>
    </w:p>
    <w:p>
      <w:pPr>
        <w:pStyle w:val="Normal"/>
        <w:widowControl w:val="false"/>
        <w:spacing w:before="0" w:after="0"/>
        <w:ind w:firstLine="709"/>
        <w:contextualSpacing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Протяжённость муниципальных дорог городского округа – 330,56 км, из которых 239,41 км – дороги общего пользования с твёрдым покрытием.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В 2025 году доля протяженности автомобильных дорог общего пользования местного значения не отвечающих нормативным требованиям в общей протяжённости автодорог местного значения составила 63,1 %.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Недостаточное финансирование с учётом возможности бюджета Новозыбковского городского округа не позволяет выдерживать межремонтные сроки существующих дорог, а также проводить их реконструкцию с учётом возросшей интенсивности движения транспортных средств, а также вести строительство новых дорог.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Новозыбковский городской округ располагает следующими видами наземного общественного транспорта: автобусы различной вместимости, легковые и маршрутные такси.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В настоящее время на территории муниципального образования Новозыбковский городской округ регулярные перевозки осуществляет Общество с ограниченной ответственностью «Новозыбковское автотранспортное предприятие», коммерческие перевозчики – индивидуальные предприниматели: ИП Шлапаков Игорь Михайлович и ИП Казютин Вадим Николаевич. </w:t>
      </w:r>
    </w:p>
    <w:p>
      <w:pPr>
        <w:pStyle w:val="Normal"/>
        <w:widowControl w:val="false"/>
        <w:spacing w:before="0"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>Маршрутная сеть муниципального образования представлена 22 маршрутами регулярных перевозок по регулируемым тарифам и 2 маршрутами регулярных перевозок по нерегулируемым тарифам.</w:t>
      </w:r>
    </w:p>
    <w:p>
      <w:pPr>
        <w:pStyle w:val="Normal"/>
        <w:widowControl w:val="false"/>
        <w:spacing w:before="0"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>Объем пассажиров, перевезенных городским транспортом общего пользования за 2025 год, составил 1,61 миллиона человек, из них 1,53 миллиона человек перевезено автобусами ООО «Новозыбковское ПАТП», 0,08 миллиона человек –  коммерческими перевозчиками.</w:t>
      </w:r>
    </w:p>
    <w:p>
      <w:pPr>
        <w:pStyle w:val="Normal"/>
        <w:widowControl w:val="false"/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>Для осуществления оперативного контроля за выпуском и работой транспортных средств на маршруте автобусы оснащены системой спутниковой навигации ГЛОНАСС.</w:t>
      </w:r>
    </w:p>
    <w:p>
      <w:pPr>
        <w:pStyle w:val="Normal"/>
        <w:widowControl w:val="false"/>
        <w:spacing w:before="0"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Следует отметить, что в течение последних лет произошли определенные изменения в сфере организации регулярных перевозок, которые привели </w:t>
        <w:br/>
        <w:t>к возникновению определённых проблем, а именно: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острая нехватка квалифицированных кадров транспортных предприятий;</w:t>
      </w:r>
    </w:p>
    <w:p>
      <w:pPr>
        <w:pStyle w:val="Normal"/>
        <w:widowControl w:val="false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увеличение затрат транспортных предприятий на эксплуатацию подвижного состава;</w:t>
      </w:r>
    </w:p>
    <w:p>
      <w:pPr>
        <w:pStyle w:val="Normal"/>
        <w:widowControl w:val="false"/>
        <w:spacing w:before="0"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ряд недостатков современной улично-дорожной сети муниципального образования, среди которых недостаточное количество обустроенных в соответствии с требованиями нормативных документов остановок транспорта общего пользования;</w:t>
      </w:r>
    </w:p>
    <w:p>
      <w:pPr>
        <w:pStyle w:val="Normal"/>
        <w:tabs>
          <w:tab w:val="clear" w:pos="284"/>
          <w:tab w:val="left" w:pos="567" w:leader="none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Таким образом, изменения в сфере организации регулярных перевозок требуют внимательного анализа и управления, чтобы минимизировать возможные проблемы и обеспечить эффективное и комфортное обслуживание пассажиров.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3.Цели и задачи планирования регулярных перевозок по муниципальным маршрутам</w:t>
      </w:r>
    </w:p>
    <w:p>
      <w:pPr>
        <w:pStyle w:val="Normal"/>
        <w:ind w:left="36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Целями планирования регулярных перевозок пассажиров и багажа автомобильным транспортом по муниципальным маршрутам на территории муниципального образования «Новозыбковский городской округ Брянской области» являются: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повышение безопасности транспортного обслуживания населения;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повышение доступности пассажирского транспорта;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повышение качества, удобства, комфортности регулярных перевозок пассажиров;</w:t>
      </w:r>
    </w:p>
    <w:p>
      <w:pPr>
        <w:pStyle w:val="ListParagraph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рационализация сети муниципальных маршрутов;</w:t>
      </w:r>
    </w:p>
    <w:p>
      <w:pPr>
        <w:pStyle w:val="ListParagraph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повышение качества инфраструктуры общественного транспорта путём модернизации и реконструкции остановочных комплексов городского округа;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улучшение транспортного обслуживания всех категорий граждан, включая пожилых людей, детей, лиц с ограниченными физическими возможностями, маломобильных групп населения;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повышение эффективности использования общественного транспорта.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Основными задачами планирования регулярных перевозок по муниципальным маршрутам, решение которых обеспечивает достижение предусмотренных пунктом 3.1. документа планирования целей, являются: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оптимизация структуры и топологии маршрутной сети наземного пассажирского транспорта по параметрам территориальной доступности, пересадочности, продолжительности поездки;</w:t>
      </w:r>
    </w:p>
    <w:p>
      <w:pPr>
        <w:pStyle w:val="Normal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2) разработка муниципальных маршрутов, обеспечивающих равный доступ ко всем микрорайонам округа, максимально возможную скорость движения транспорта общего пользования и соблюдение расписания;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координация расписаний движения транспортных средств на различных муниципальных маршрутах;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благоустройство существующих остановок и организация новых с целью повышения комфортности и удобства пассажиров;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повышение комфортабельности транспортных средств;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наличие транспортных средств, обеспечивающих беспрепятственный доступ маломобильных категорий населения;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 повышение информированности населения о работе пассажирского транспорта общего пользования, внедрение систем информирования пассажиров о движении транспортных средств на муниципальных маршрутах в режиме реального времени;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повышение конкурентоспособности пассажирских перевозок за счёт создания долгосрочных предсказуемых условий работы для перевозчиков;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9)совершенствование механизмов контроля за работой перевозчиков, осуществляющих регулярные перевозки по муниципальным маршрутам.  </w:t>
      </w:r>
    </w:p>
    <w:p>
      <w:pPr>
        <w:pStyle w:val="ListParagraph"/>
        <w:ind w:lef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Перечень мероприятий по развитию регулярных перевозок</w:t>
      </w:r>
    </w:p>
    <w:p>
      <w:pPr>
        <w:pStyle w:val="ListParagraph"/>
        <w:ind w:left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пассажиров и багажа автомобильным транспортом по муниципальным</w:t>
      </w:r>
    </w:p>
    <w:p>
      <w:pPr>
        <w:pStyle w:val="ListParagraph"/>
        <w:ind w:left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маршрутам на территории муниципального образования «Новозыбковский городской округ Брянской области»</w:t>
      </w:r>
    </w:p>
    <w:p>
      <w:pPr>
        <w:pStyle w:val="ListParagraph"/>
        <w:ind w:left="0" w:hanging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  <w:t>Раздел 4.1.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Перечень маршрутов по изменению вида регулярных перевозок, осуществляемых по муниципальным маршрутам регулярных перевозок 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</w:r>
    </w:p>
    <w:tbl>
      <w:tblPr>
        <w:tblW w:w="9913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572"/>
        <w:gridCol w:w="1260"/>
        <w:gridCol w:w="2695"/>
        <w:gridCol w:w="2409"/>
        <w:gridCol w:w="1842"/>
        <w:gridCol w:w="1134"/>
      </w:tblGrid>
      <w:tr>
        <w:trPr>
          <w:trHeight w:val="2307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№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п/п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Порядковый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 xml:space="preserve"> </w:t>
            </w:r>
            <w:r>
              <w:rPr>
                <w:rFonts w:eastAsia="Times New Roman" w:ascii="Times New Roman" w:hAnsi="Times New Roman"/>
                <w:color w:val="000000"/>
                <w:sz w:val="22"/>
              </w:rPr>
              <w:t xml:space="preserve">номер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маршрута регулярных перевозок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Наименование   муниципального маршрута регулярных перевозок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Фактический вид регулярных перевозок на муниципальном  маршруте регулярных перевозок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Планируемый вид регулярных перевозок на муниципальном маршруте регулярных перевозок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/>
                <w:sz w:val="22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Срок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изменения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вида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регулярных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перевозок</w:t>
            </w:r>
          </w:p>
        </w:tc>
      </w:tr>
      <w:tr>
        <w:trPr>
          <w:trHeight w:val="34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Совхоз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2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Дыбенко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ГАТП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Крестьянская - РСУ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– 114 квартал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Карховка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РТП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Больница – Вокзал – 114 –й квартал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 нерегулируемым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Подстанция – Вокзал - Центр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 нерегулируемым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     № </w:t>
            </w:r>
            <w:r>
              <w:rPr>
                <w:rFonts w:eastAsia="Times New Roman" w:ascii="Times New Roman" w:hAnsi="Times New Roman"/>
                <w:szCs w:val="24"/>
              </w:rPr>
              <w:t>103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Старый Вышков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106К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Сновское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107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Старая Рудня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108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Старый Кривец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110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Несвоевка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Перевоз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16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111К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ВИУА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17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113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Журавки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18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113К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Шеломы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19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Катичи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115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Белый Колодец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116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Тростань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22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116/1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Замишево - Тростань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23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117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Синий Колодец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  <w:tr>
        <w:trPr>
          <w:trHeight w:val="359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124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Каташин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  <w:szCs w:val="24"/>
              </w:rPr>
              <w:t>по регулируемым тарифам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не планируется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-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  <w:t>Раздел 4.2.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</w:rPr>
        <w:t>Перечень мероприятий по установлению, изменению или отмене муниципальных маршрутов регулярных перевозок, а также изменению порядкового номера (названия) муниципального маршрута регулярных перевозок</w:t>
      </w:r>
    </w:p>
    <w:p>
      <w:pPr>
        <w:pStyle w:val="Normal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 </w:t>
      </w:r>
    </w:p>
    <w:tbl>
      <w:tblPr>
        <w:tblW w:w="9913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907"/>
        <w:gridCol w:w="1261"/>
        <w:gridCol w:w="2213"/>
        <w:gridCol w:w="2696"/>
        <w:gridCol w:w="1701"/>
        <w:gridCol w:w="1134"/>
      </w:tblGrid>
      <w:tr>
        <w:trPr>
          <w:trHeight w:val="1670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№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п/п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Порядко</w:t>
              <w:softHyphen/>
              <w:t>вый номер маршрута регулярных перевозок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Наименование  муниципального маршрута регулярных перевозок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Вид изменения муниципального маршрута регулярных перевозок (установление, изменение, отмена, изменение порядкового номера, названия маршрута)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sz w:val="22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Содержание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изменения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Срок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изменения</w:t>
            </w:r>
          </w:p>
        </w:tc>
      </w:tr>
      <w:tr>
        <w:trPr>
          <w:trHeight w:val="331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Совхоз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2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Дыбенко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ГАТП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Крестьянская - РСУ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433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6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– 114 квартал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Карховка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№ </w:t>
            </w:r>
            <w:r>
              <w:rPr>
                <w:rFonts w:eastAsia="Times New Roman" w:ascii="Times New Roman" w:hAnsi="Times New Roman"/>
                <w:szCs w:val="24"/>
              </w:rPr>
              <w:t>14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Вокзал - РТП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№ </w:t>
            </w:r>
            <w:r>
              <w:rPr>
                <w:rFonts w:eastAsia="Times New Roman" w:ascii="Times New Roman" w:hAnsi="Times New Roman"/>
                <w:szCs w:val="24"/>
              </w:rPr>
              <w:t>11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Больница – Вокзал – 114 –й квартал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Подстанция – Вокзал - Центр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изменение начального и конечного пункта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маршрута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1-2 квартал 2026 г.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     № </w:t>
            </w:r>
            <w:r>
              <w:rPr>
                <w:rFonts w:eastAsia="Times New Roman" w:ascii="Times New Roman" w:hAnsi="Times New Roman"/>
                <w:szCs w:val="24"/>
              </w:rPr>
              <w:t>103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Старый Вышков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    № </w:t>
            </w:r>
            <w:r>
              <w:rPr>
                <w:rFonts w:eastAsia="Times New Roman" w:ascii="Times New Roman" w:hAnsi="Times New Roman"/>
                <w:szCs w:val="24"/>
              </w:rPr>
              <w:t>106К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Сновское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 № </w:t>
            </w:r>
            <w:r>
              <w:rPr>
                <w:rFonts w:eastAsia="Times New Roman" w:ascii="Times New Roman" w:hAnsi="Times New Roman"/>
                <w:szCs w:val="24"/>
              </w:rPr>
              <w:t>107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Старая Рудня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108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Старый Кривец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Несвоевка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15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Перевоз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16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№ </w:t>
            </w:r>
            <w:r>
              <w:rPr>
                <w:rFonts w:eastAsia="Times New Roman" w:ascii="Times New Roman" w:hAnsi="Times New Roman"/>
                <w:szCs w:val="24"/>
              </w:rPr>
              <w:t>111К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ВИУА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17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113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Журавки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18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№ </w:t>
            </w:r>
            <w:r>
              <w:rPr>
                <w:rFonts w:eastAsia="Times New Roman" w:ascii="Times New Roman" w:hAnsi="Times New Roman"/>
                <w:szCs w:val="24"/>
              </w:rPr>
              <w:t>113К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Шеломы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19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Катичи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20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115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Белый Колодец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21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116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Тростань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22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   № </w:t>
            </w:r>
            <w:r>
              <w:rPr>
                <w:rFonts w:eastAsia="Times New Roman" w:ascii="Times New Roman" w:hAnsi="Times New Roman"/>
                <w:szCs w:val="24"/>
              </w:rPr>
              <w:t>116/1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Замишево - Тростань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23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117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– Синий Колодец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  <w:tr>
        <w:trPr>
          <w:trHeight w:val="346" w:hRule="atLeast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24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Cs w:val="24"/>
              </w:rPr>
              <w:t>124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ascii="Times New Roman" w:hAnsi="Times New Roman"/>
                <w:szCs w:val="24"/>
              </w:rPr>
              <w:t>Новозыбков - Каташин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eastAsia="Times New Roman" w:ascii="Times New Roman" w:hAnsi="Times New Roman"/>
              </w:rPr>
              <w:t>не планируется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  <w:t xml:space="preserve">   </w:t>
      </w:r>
      <w:r>
        <w:rPr>
          <w:rFonts w:eastAsia="Times New Roman" w:ascii="Times New Roman" w:hAnsi="Times New Roman"/>
          <w:bCs/>
          <w:color w:val="000000"/>
          <w:sz w:val="28"/>
          <w:szCs w:val="28"/>
        </w:rPr>
        <w:t>Раздел 4.3.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План-график проведения аукционов по заключению муниципальных контрактов о выполнении работ, связанных с осуществлением регулярных перевозок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4"/>
        <w:tblW w:w="966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2"/>
        <w:gridCol w:w="1502"/>
        <w:gridCol w:w="3140"/>
        <w:gridCol w:w="2456"/>
        <w:gridCol w:w="1933"/>
      </w:tblGrid>
      <w:tr>
        <w:trPr>
          <w:trHeight w:val="1246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п/п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 xml:space="preserve">Порядковый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 xml:space="preserve">номер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 xml:space="preserve">маршрута 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регулярных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перевозок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Наименование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муниципального маршрута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регулярных перевозок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Срок проведения закупки работ (открытого конкурса)</w:t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 xml:space="preserve">Дата начала действия муниципального контракта </w:t>
              <w:br/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lang w:val="ru-RU" w:bidi="ar-SA"/>
              </w:rPr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Совхоз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Дыбенко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ГАТП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Крестьянская - РСУ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– 114 квартал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Карховка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14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РТП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103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Старый Вышков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106К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Сновское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107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Старая Рудня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108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Старый Кривец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12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110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Несвоевка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13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111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Перевоз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14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111К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ВИУА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113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Журавки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16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113К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Шеломы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17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114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Катичи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18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115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Белый Колодец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19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116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Тростань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20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116/1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Замишево - Тростань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21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117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Синий Колодец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  <w:tr>
        <w:trPr>
          <w:trHeight w:val="281" w:hRule="atLeast"/>
        </w:trPr>
        <w:tc>
          <w:tcPr>
            <w:tcW w:w="63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22</w:t>
            </w:r>
          </w:p>
        </w:tc>
        <w:tc>
          <w:tcPr>
            <w:tcW w:w="1502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124</w:t>
            </w:r>
          </w:p>
        </w:tc>
        <w:tc>
          <w:tcPr>
            <w:tcW w:w="314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Каташин</w:t>
            </w:r>
          </w:p>
        </w:tc>
        <w:tc>
          <w:tcPr>
            <w:tcW w:w="24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2026г.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май-июнь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ноябрь-декабрь 2027г.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</w:r>
          </w:p>
        </w:tc>
        <w:tc>
          <w:tcPr>
            <w:tcW w:w="1933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01.07.2026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01.07.2027 г.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bidi="ar-SA"/>
              </w:rPr>
              <w:t>01.01.2028 г.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  <w:t>Раздел 4.4.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</w:rPr>
        <w:t>План-график проведения открытых конкурсов по выдачи свидетельств на осуществление регулярных перевозок автомобильным транспортом по нерегулируемым тарифам</w:t>
      </w:r>
    </w:p>
    <w:p>
      <w:pPr>
        <w:pStyle w:val="Normal"/>
        <w:jc w:val="center"/>
        <w:rPr>
          <w:rFonts w:ascii="Times New Roman" w:hAnsi="Times New Roman" w:eastAsia="Times New Roman"/>
          <w:color w:val="000000"/>
          <w:sz w:val="28"/>
          <w:szCs w:val="28"/>
        </w:rPr>
      </w:pPr>
      <w:r>
        <w:rPr>
          <w:rFonts w:eastAsia="Times New Roman" w:ascii="Times New Roman" w:hAnsi="Times New Roman"/>
          <w:color w:val="000000"/>
          <w:sz w:val="28"/>
          <w:szCs w:val="28"/>
        </w:rPr>
      </w:r>
    </w:p>
    <w:tbl>
      <w:tblPr>
        <w:tblpPr w:bottomFromText="0" w:horzAnchor="margin" w:leftFromText="180" w:rightFromText="180" w:tblpX="0" w:tblpY="52" w:topFromText="0" w:vertAnchor="text"/>
        <w:tblW w:w="9776" w:type="dxa"/>
        <w:jc w:val="left"/>
        <w:tblInd w:w="-5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739"/>
        <w:gridCol w:w="1675"/>
        <w:gridCol w:w="3015"/>
        <w:gridCol w:w="2345"/>
        <w:gridCol w:w="2002"/>
      </w:tblGrid>
      <w:tr>
        <w:trPr>
          <w:trHeight w:val="3293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№</w:t>
            </w:r>
          </w:p>
          <w:p>
            <w:pPr>
              <w:pStyle w:val="Normal"/>
              <w:widowControl w:val="false"/>
              <w:spacing w:lineRule="exact" w:line="22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п/п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Порядковый номер маршрута регулярных перевозок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муниципального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маршрута регулярных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перевозок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Срок проведения открытого конкурса в соответствии с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Федеральным законом № 220-ФЗ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Срок начала действия свидетельства об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ascii="Times New Roman" w:hAnsi="Times New Roman"/>
                <w:color w:val="000000"/>
                <w:sz w:val="22"/>
              </w:rPr>
              <w:t>осуществлении перевозок по муниципальному маршруту регулярных перевозок</w:t>
            </w:r>
          </w:p>
        </w:tc>
      </w:tr>
      <w:tr>
        <w:trPr>
          <w:trHeight w:val="275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1.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№ </w:t>
            </w:r>
            <w:r>
              <w:rPr>
                <w:rFonts w:eastAsia="Times New Roman" w:ascii="Times New Roman" w:hAnsi="Times New Roman"/>
              </w:rPr>
              <w:t>4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Подстанция – Вокзал - Центр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01.01.2026 г.</w:t>
            </w:r>
          </w:p>
        </w:tc>
      </w:tr>
      <w:tr>
        <w:trPr>
          <w:trHeight w:val="292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2.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 xml:space="preserve">№ </w:t>
            </w:r>
            <w:r>
              <w:rPr>
                <w:rFonts w:eastAsia="Times New Roman" w:ascii="Times New Roman" w:hAnsi="Times New Roman"/>
              </w:rPr>
              <w:t>11</w:t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Больница – Вокзал – 114 квартал</w:t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-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  <w:t>01.11.2027 г.</w:t>
            </w:r>
          </w:p>
        </w:tc>
      </w:tr>
      <w:tr>
        <w:trPr>
          <w:trHeight w:val="297" w:hRule="atLeast"/>
        </w:trPr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2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Fonts w:ascii="Times New Roman" w:hAnsi="Times New Roman" w:eastAsia="Times New Roman"/>
              </w:rPr>
            </w:pPr>
            <w:r>
              <w:rPr>
                <w:rFonts w:eastAsia="Times New Roman" w:ascii="Times New Roman" w:hAnsi="Times New Roman"/>
              </w:rPr>
            </w:r>
          </w:p>
        </w:tc>
      </w:tr>
    </w:tbl>
    <w:p>
      <w:pPr>
        <w:pStyle w:val="Normal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p>
      <w:pPr>
        <w:pStyle w:val="Normal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 w:eastAsia="Times New Roman"/>
          <w:bCs/>
          <w:color w:val="000000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</w:r>
    </w:p>
    <w:p>
      <w:pPr>
        <w:pStyle w:val="ListParagraph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Cs/>
          <w:color w:val="000000"/>
          <w:sz w:val="28"/>
          <w:szCs w:val="28"/>
        </w:rPr>
        <w:t>Раздел 4.5.</w:t>
      </w:r>
      <w:r>
        <w:rPr>
          <w:rFonts w:eastAsia="Times New Roman"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color w:val="000000"/>
          <w:sz w:val="28"/>
          <w:szCs w:val="28"/>
        </w:rPr>
        <w:t xml:space="preserve">Перечень проведения иных мероприятий, направленных на обеспечение транспортного обслуживания населения на территории муниципального образования </w:t>
      </w:r>
      <w:r>
        <w:rPr>
          <w:rFonts w:ascii="Times New Roman" w:hAnsi="Times New Roman"/>
          <w:sz w:val="28"/>
          <w:szCs w:val="28"/>
        </w:rPr>
        <w:t>«Новозыбковский городской округ Брянской области»</w:t>
      </w:r>
    </w:p>
    <w:p>
      <w:pPr>
        <w:pStyle w:val="Normal"/>
        <w:jc w:val="center"/>
        <w:rPr>
          <w:rFonts w:eastAsia="Times New Roman"/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</w:r>
    </w:p>
    <w:tbl>
      <w:tblPr>
        <w:tblStyle w:val="a4"/>
        <w:tblW w:w="966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6"/>
        <w:gridCol w:w="1986"/>
        <w:gridCol w:w="3201"/>
        <w:gridCol w:w="2355"/>
        <w:gridCol w:w="1560"/>
      </w:tblGrid>
      <w:tr>
        <w:trPr>
          <w:trHeight w:val="1357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№</w:t>
            </w:r>
          </w:p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п/п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Порядковый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номер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маршрута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регулярных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перевозок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Наименование муниципального маршрута регулярных перевозок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color w:val="000000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Наименование</w:t>
            </w:r>
          </w:p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и содержание</w:t>
            </w:r>
          </w:p>
          <w:p>
            <w:pPr>
              <w:pStyle w:val="Normal"/>
              <w:widowControl/>
              <w:spacing w:lineRule="exact" w:line="220"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мероприятия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Срок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выполнения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 w:val="22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2"/>
                <w:lang w:val="ru-RU" w:bidi="ar-SA"/>
              </w:rPr>
              <w:t>мероприятия</w:t>
            </w:r>
          </w:p>
        </w:tc>
      </w:tr>
      <w:tr>
        <w:trPr>
          <w:trHeight w:val="318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Совхоз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Дыбенко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3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ГАТП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Крестьянская - РСУ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– 114 квартал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Карховка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14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Вокзал - РТП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Больница – Вокзал – 114 –й квартал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4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Подстанция – Вокзал - Центр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103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Старый Вышков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 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106К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Сновское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107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Старая Рудня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108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Старый Кривец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110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Несвоевка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15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111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Перевоз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16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111К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ВИУА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17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113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Журавки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18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113К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Шеломы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19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114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Катичи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20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115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Белый Колодец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21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116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Тростань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22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   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116/1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Замишево - Тростань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23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117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– Синий Колодец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  <w:tr>
        <w:trPr>
          <w:trHeight w:val="331" w:hRule="atLeast"/>
        </w:trPr>
        <w:tc>
          <w:tcPr>
            <w:tcW w:w="56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24</w:t>
            </w:r>
          </w:p>
        </w:tc>
        <w:tc>
          <w:tcPr>
            <w:tcW w:w="198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124</w:t>
            </w:r>
          </w:p>
        </w:tc>
        <w:tc>
          <w:tcPr>
            <w:tcW w:w="320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Cs w:val="24"/>
                <w:lang w:val="ru-RU" w:bidi="ar-SA"/>
              </w:rPr>
              <w:t>Новозыбков - Каташин</w:t>
            </w:r>
          </w:p>
        </w:tc>
        <w:tc>
          <w:tcPr>
            <w:tcW w:w="235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cs="Times New Roman"/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lang w:val="ru-RU" w:bidi="ar-SA"/>
              </w:rPr>
              <w:t>не планируется</w:t>
            </w:r>
          </w:p>
        </w:tc>
        <w:tc>
          <w:tcPr>
            <w:tcW w:w="1560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  <w:t>-</w:t>
            </w:r>
          </w:p>
        </w:tc>
      </w:tr>
    </w:tbl>
    <w:p>
      <w:pPr>
        <w:pStyle w:val="ListParagraph"/>
        <w:ind w:left="0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ind w:left="0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Cs w:val="24"/>
        </w:rPr>
        <w:t xml:space="preserve">Начальник отдела юридической </w:t>
      </w:r>
    </w:p>
    <w:p>
      <w:pPr>
        <w:pStyle w:val="ListParagraph"/>
        <w:ind w:left="0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>и кадровой работы                                                                                                           Е.Б.Станчак</w:t>
      </w:r>
    </w:p>
    <w:p>
      <w:pPr>
        <w:pStyle w:val="ListParagraph"/>
        <w:ind w:left="0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ListParagraph"/>
        <w:ind w:left="0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 xml:space="preserve">Ведущий специалист </w:t>
      </w:r>
    </w:p>
    <w:p>
      <w:pPr>
        <w:pStyle w:val="ListParagraph"/>
        <w:ind w:left="0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Cs w:val="24"/>
        </w:rPr>
        <w:t>отдела экономического развития                                                                                С.В.Самосват</w:t>
      </w:r>
    </w:p>
    <w:p>
      <w:pPr>
        <w:pStyle w:val="ListParagraph"/>
        <w:ind w:left="0" w:hanging="0"/>
        <w:jc w:val="center"/>
        <w:rPr>
          <w:sz w:val="16"/>
          <w:szCs w:val="16"/>
        </w:rPr>
      </w:pPr>
      <w:r>
        <w:rPr/>
      </w:r>
    </w:p>
    <w:sectPr>
      <w:type w:val="nextPage"/>
      <w:pgSz w:w="11906" w:h="16838"/>
      <w:pgMar w:left="1134" w:right="991" w:gutter="0" w:header="0" w:top="1134" w:footer="0" w:bottom="1134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80043"/>
    <w:pPr>
      <w:widowControl/>
      <w:bidi w:val="0"/>
      <w:spacing w:before="0" w:after="0"/>
      <w:jc w:val="left"/>
    </w:pPr>
    <w:rPr>
      <w:rFonts w:ascii="Arial" w:hAnsi="Arial" w:eastAsia="Calibri" w:cs="Times New Roman"/>
      <w:color w:val="auto"/>
      <w:kern w:val="0"/>
      <w:sz w:val="24"/>
      <w:szCs w:val="22"/>
      <w:lang w:eastAsia="en-US" w:val="ru-RU" w:bidi="ar-SA"/>
    </w:rPr>
  </w:style>
  <w:style w:type="paragraph" w:styleId="Heading1">
    <w:name w:val="Heading 1"/>
    <w:basedOn w:val="Normal"/>
    <w:link w:val="1"/>
    <w:uiPriority w:val="99"/>
    <w:qFormat/>
    <w:rsid w:val="006f4af8"/>
    <w:pPr>
      <w:spacing w:beforeAutospacing="1" w:afterAutospacing="1"/>
      <w:outlineLvl w:val="0"/>
    </w:pPr>
    <w:rPr>
      <w:rFonts w:ascii="Times New Roman" w:hAnsi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9"/>
    <w:qFormat/>
    <w:locked/>
    <w:rsid w:val="006f4af8"/>
    <w:rPr>
      <w:rFonts w:ascii="Times New Roman" w:hAnsi="Times New Roman"/>
      <w:b/>
      <w:kern w:val="2"/>
      <w:sz w:val="48"/>
      <w:lang w:eastAsia="ru-RU"/>
    </w:rPr>
  </w:style>
  <w:style w:type="character" w:styleId="Style8" w:customStyle="1">
    <w:name w:val="Текст выноски Знак"/>
    <w:link w:val="BalloonText"/>
    <w:uiPriority w:val="99"/>
    <w:semiHidden/>
    <w:qFormat/>
    <w:locked/>
    <w:rsid w:val="00a84b4c"/>
    <w:rPr>
      <w:rFonts w:ascii="Tahoma" w:hAnsi="Tahoma"/>
      <w:sz w:val="16"/>
    </w:rPr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080043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rsid w:val="00d10ede"/>
    <w:pPr>
      <w:widowControl/>
      <w:bidi w:val="0"/>
      <w:spacing w:before="0" w:after="0"/>
      <w:jc w:val="left"/>
    </w:pPr>
    <w:rPr>
      <w:rFonts w:cs="Arial" w:ascii="Arial" w:hAnsi="Arial" w:eastAsia="Calibri"/>
      <w:color w:val="auto"/>
      <w:kern w:val="0"/>
      <w:sz w:val="20"/>
      <w:szCs w:val="20"/>
      <w:lang w:eastAsia="en-US" w:val="ru-RU" w:bidi="ar-SA"/>
    </w:rPr>
  </w:style>
  <w:style w:type="paragraph" w:styleId="ConsPlusTitle" w:customStyle="1">
    <w:name w:val="ConsPlusTitle"/>
    <w:qFormat/>
    <w:rsid w:val="00cb2fed"/>
    <w:pPr>
      <w:widowControl/>
      <w:bidi w:val="0"/>
      <w:spacing w:before="0" w:after="0"/>
      <w:jc w:val="left"/>
    </w:pPr>
    <w:rPr>
      <w:rFonts w:cs="Arial" w:ascii="Arial" w:hAnsi="Arial" w:eastAsia="Calibri"/>
      <w:b/>
      <w:bCs/>
      <w:color w:val="auto"/>
      <w:kern w:val="0"/>
      <w:sz w:val="20"/>
      <w:szCs w:val="20"/>
      <w:lang w:eastAsia="en-US" w:val="ru-RU" w:bidi="ar-SA"/>
    </w:rPr>
  </w:style>
  <w:style w:type="paragraph" w:styleId="BalloonText">
    <w:name w:val="Balloon Text"/>
    <w:basedOn w:val="Normal"/>
    <w:link w:val="Style8"/>
    <w:uiPriority w:val="99"/>
    <w:semiHidden/>
    <w:qFormat/>
    <w:rsid w:val="00a84b4c"/>
    <w:pPr/>
    <w:rPr>
      <w:rFonts w:ascii="Tahoma" w:hAnsi="Tahoma"/>
      <w:sz w:val="16"/>
      <w:szCs w:val="16"/>
      <w:lang w:eastAsia="ru-RU"/>
    </w:rPr>
  </w:style>
  <w:style w:type="paragraph" w:styleId="NoSpacing">
    <w:name w:val="No Spacing"/>
    <w:uiPriority w:val="1"/>
    <w:qFormat/>
    <w:rsid w:val="00906296"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eastAsia="en-US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e12f3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92D0B-6D99-4183-B452-D03ECAB94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AlterOffice/3.4.0.8$Windows_X86_64 LibreOffice_project/8f3f3c847f0b8d6fea24e251d3d8ed4f23cbe23c</Application>
  <AppVersion>15.0000</AppVersion>
  <Pages>11</Pages>
  <Words>2522</Words>
  <Characters>16676</Characters>
  <CharactersWithSpaces>19306</CharactersWithSpaces>
  <Paragraphs>804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2026-02-16T09:00:00Z</dcterms:created>
  <dc:creator>Макарова Елена Николаевна</dc:creator>
  <dc:description/>
  <dc:language>ru-RU</dc:language>
  <cp:lastModifiedBy>KONNOV</cp:lastModifiedBy>
  <cp:lastPrinted>2026-01-26T13:30:00Z</cp:lastPrinted>
  <dcterms:modified xsi:type="dcterms:W3CDTF">2026-03-05T11:38:38Z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